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6374" w:type="dxa"/>
        <w:jc w:val="center"/>
        <w:tblLayout w:type="fixed"/>
        <w:tblLook w:val="04A0" w:firstRow="1" w:lastRow="0" w:firstColumn="1" w:lastColumn="0" w:noHBand="0" w:noVBand="1"/>
      </w:tblPr>
      <w:tblGrid>
        <w:gridCol w:w="2125"/>
        <w:gridCol w:w="2124"/>
        <w:gridCol w:w="2125"/>
      </w:tblGrid>
      <w:tr w:rsidR="00584BF8" w14:paraId="734D073C" w14:textId="77777777" w:rsidTr="112A2323">
        <w:trPr>
          <w:trHeight w:val="54"/>
          <w:jc w:val="center"/>
        </w:trPr>
        <w:tc>
          <w:tcPr>
            <w:tcW w:w="6373" w:type="dxa"/>
            <w:gridSpan w:val="3"/>
            <w:shd w:val="clear" w:color="auto" w:fill="002B85"/>
          </w:tcPr>
          <w:p w14:paraId="5C94D788" w14:textId="77777777" w:rsidR="00584BF8" w:rsidRDefault="00E51B4C">
            <w:pPr>
              <w:pageBreakBefore/>
              <w:widowControl w:val="0"/>
              <w:spacing w:after="0" w:line="240" w:lineRule="auto"/>
              <w:rPr>
                <w:rFonts w:ascii="Cambria" w:hAnsi="Cambria"/>
                <w:b/>
                <w:bCs/>
                <w:color w:val="000000" w:themeColor="text1"/>
                <w:sz w:val="20"/>
                <w:szCs w:val="20"/>
              </w:rPr>
            </w:pPr>
            <w:r>
              <w:rPr>
                <w:rFonts w:ascii="Cambria" w:eastAsia="Calibri" w:hAnsi="Cambria"/>
                <w:b/>
                <w:bCs/>
                <w:color w:val="FFFFFF" w:themeColor="background1"/>
                <w:sz w:val="20"/>
                <w:szCs w:val="20"/>
              </w:rPr>
              <w:t>Den bevidsthedspåvirkede patient</w:t>
            </w:r>
          </w:p>
        </w:tc>
      </w:tr>
      <w:tr w:rsidR="00584BF8" w14:paraId="6417626B" w14:textId="77777777" w:rsidTr="112A2323">
        <w:trPr>
          <w:trHeight w:val="300"/>
          <w:jc w:val="center"/>
        </w:trPr>
        <w:tc>
          <w:tcPr>
            <w:tcW w:w="6373" w:type="dxa"/>
            <w:gridSpan w:val="3"/>
            <w:tcBorders>
              <w:bottom w:val="single" w:sz="12" w:space="0" w:color="000000" w:themeColor="text1"/>
            </w:tcBorders>
            <w:shd w:val="clear" w:color="auto" w:fill="0070C0"/>
          </w:tcPr>
          <w:p w14:paraId="2B822FCA" w14:textId="77777777" w:rsidR="00584BF8" w:rsidRDefault="00E51B4C">
            <w:pPr>
              <w:widowControl w:val="0"/>
              <w:spacing w:after="0" w:line="240" w:lineRule="auto"/>
              <w:rPr>
                <w:rFonts w:ascii="Cambria" w:hAnsi="Cambria"/>
                <w:b/>
                <w:bCs/>
                <w:color w:val="FFFFFF" w:themeColor="background1"/>
                <w:sz w:val="20"/>
                <w:szCs w:val="20"/>
              </w:rPr>
            </w:pPr>
            <w:r>
              <w:rPr>
                <w:rFonts w:ascii="Cambria" w:eastAsia="Calibri" w:hAnsi="Cambria"/>
                <w:b/>
                <w:bCs/>
                <w:color w:val="FFFFFF" w:themeColor="background1"/>
                <w:sz w:val="16"/>
                <w:szCs w:val="16"/>
              </w:rPr>
              <w:t>GCS - Glasgow Coma Scale</w:t>
            </w:r>
          </w:p>
        </w:tc>
      </w:tr>
      <w:tr w:rsidR="00584BF8" w14:paraId="3E6B24BE" w14:textId="77777777" w:rsidTr="112A2323">
        <w:trPr>
          <w:trHeight w:val="64"/>
          <w:jc w:val="center"/>
        </w:trPr>
        <w:tc>
          <w:tcPr>
            <w:tcW w:w="21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FE5B378" w14:textId="77777777" w:rsidR="00584BF8" w:rsidRDefault="402A7E6B" w:rsidP="402A7E6B">
            <w:pPr>
              <w:widowControl w:val="0"/>
              <w:spacing w:after="0" w:line="240" w:lineRule="auto"/>
              <w:rPr>
                <w:rFonts w:ascii="Cambria" w:hAnsi="Cambria"/>
                <w:color w:val="000000" w:themeColor="text1"/>
                <w:sz w:val="14"/>
                <w:szCs w:val="14"/>
                <w:u w:val="single"/>
              </w:rPr>
            </w:pPr>
            <w:r w:rsidRPr="402A7E6B">
              <w:rPr>
                <w:rFonts w:ascii="Cambria" w:eastAsia="Calibri" w:hAnsi="Cambria"/>
                <w:color w:val="000000" w:themeColor="text1"/>
                <w:sz w:val="14"/>
                <w:szCs w:val="14"/>
                <w:u w:val="single"/>
              </w:rPr>
              <w:t>Øjenåbning:</w:t>
            </w:r>
          </w:p>
          <w:p w14:paraId="2F846DD9"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Ø4: Spontant åbne øjne</w:t>
            </w:r>
          </w:p>
          <w:p w14:paraId="2539C3FF"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Ø3: Åbnes ved tiltale</w:t>
            </w:r>
          </w:p>
          <w:p w14:paraId="5B2B4592"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Ø2: Åbnes ved smertestimuli</w:t>
            </w:r>
          </w:p>
          <w:p w14:paraId="7ABD2CF7"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Ø1: Åbnes ikke</w:t>
            </w:r>
          </w:p>
        </w:tc>
        <w:tc>
          <w:tcPr>
            <w:tcW w:w="21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E8F6771" w14:textId="77777777" w:rsidR="00584BF8" w:rsidRDefault="402A7E6B" w:rsidP="402A7E6B">
            <w:pPr>
              <w:widowControl w:val="0"/>
              <w:spacing w:after="0" w:line="240" w:lineRule="auto"/>
              <w:rPr>
                <w:rFonts w:ascii="Cambria" w:hAnsi="Cambria"/>
                <w:color w:val="000000" w:themeColor="text1"/>
                <w:sz w:val="14"/>
                <w:szCs w:val="14"/>
                <w:u w:val="single"/>
              </w:rPr>
            </w:pPr>
            <w:r w:rsidRPr="402A7E6B">
              <w:rPr>
                <w:rFonts w:ascii="Cambria" w:hAnsi="Cambria"/>
                <w:color w:val="000000" w:themeColor="text1"/>
                <w:sz w:val="14"/>
                <w:szCs w:val="14"/>
                <w:u w:val="single"/>
              </w:rPr>
              <w:t>Verbalt respons:</w:t>
            </w:r>
          </w:p>
          <w:p w14:paraId="6C829B30"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V5: Almindelig tale</w:t>
            </w:r>
          </w:p>
          <w:p w14:paraId="7395AA00"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V4: Desorienteret</w:t>
            </w:r>
          </w:p>
          <w:p w14:paraId="37CC3292"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V3: Uforståelige sætninger</w:t>
            </w:r>
          </w:p>
          <w:p w14:paraId="1AD8FD6F"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V2: Uforståelige lyde</w:t>
            </w:r>
          </w:p>
          <w:p w14:paraId="3D73F41E"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V1: Mutisme</w:t>
            </w:r>
          </w:p>
        </w:tc>
        <w:tc>
          <w:tcPr>
            <w:tcW w:w="212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2BBA717" w14:textId="77777777" w:rsidR="00584BF8" w:rsidRDefault="402A7E6B" w:rsidP="402A7E6B">
            <w:pPr>
              <w:widowControl w:val="0"/>
              <w:spacing w:after="0" w:line="240" w:lineRule="auto"/>
              <w:rPr>
                <w:rFonts w:ascii="Cambria" w:hAnsi="Cambria"/>
                <w:color w:val="000000" w:themeColor="text1"/>
                <w:sz w:val="14"/>
                <w:szCs w:val="14"/>
                <w:u w:val="single"/>
              </w:rPr>
            </w:pPr>
            <w:r w:rsidRPr="402A7E6B">
              <w:rPr>
                <w:rFonts w:ascii="Cambria" w:hAnsi="Cambria"/>
                <w:color w:val="000000" w:themeColor="text1"/>
                <w:sz w:val="14"/>
                <w:szCs w:val="14"/>
                <w:u w:val="single"/>
              </w:rPr>
              <w:t>Motorisk respons:</w:t>
            </w:r>
          </w:p>
          <w:p w14:paraId="251B1EAA"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M6: Efterkommer opfordringer</w:t>
            </w:r>
          </w:p>
          <w:p w14:paraId="2EC6B57B" w14:textId="51F0B916" w:rsidR="00584BF8" w:rsidRDefault="402A7E6B">
            <w:pPr>
              <w:widowControl w:val="0"/>
              <w:spacing w:after="0" w:line="240" w:lineRule="auto"/>
              <w:rPr>
                <w:rFonts w:ascii="Cambria" w:hAnsi="Cambria"/>
                <w:color w:val="000000" w:themeColor="text1"/>
                <w:sz w:val="14"/>
                <w:szCs w:val="14"/>
              </w:rPr>
            </w:pPr>
            <w:r w:rsidRPr="402A7E6B">
              <w:rPr>
                <w:rFonts w:ascii="Cambria" w:hAnsi="Cambria"/>
                <w:color w:val="000000" w:themeColor="text1"/>
                <w:sz w:val="14"/>
                <w:szCs w:val="14"/>
              </w:rPr>
              <w:t>M5: Lokaliserer smertestimuli</w:t>
            </w:r>
          </w:p>
          <w:p w14:paraId="13208355"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M4: Afværger smertestimuli</w:t>
            </w:r>
          </w:p>
          <w:p w14:paraId="6508D933"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M3: Abnorm fleksion</w:t>
            </w:r>
          </w:p>
          <w:p w14:paraId="710E7541"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M2: Abnorm ekstention</w:t>
            </w:r>
          </w:p>
          <w:p w14:paraId="3EDAEF55" w14:textId="77777777" w:rsidR="00584BF8" w:rsidRDefault="00E51B4C">
            <w:pPr>
              <w:widowControl w:val="0"/>
              <w:spacing w:after="0" w:line="240" w:lineRule="auto"/>
              <w:rPr>
                <w:rFonts w:ascii="Cambria" w:hAnsi="Cambria"/>
                <w:color w:val="000000" w:themeColor="text1"/>
                <w:sz w:val="14"/>
                <w:szCs w:val="14"/>
              </w:rPr>
            </w:pPr>
            <w:r>
              <w:rPr>
                <w:rFonts w:ascii="Cambria" w:hAnsi="Cambria"/>
                <w:color w:val="000000" w:themeColor="text1"/>
                <w:sz w:val="14"/>
                <w:szCs w:val="14"/>
              </w:rPr>
              <w:t>M1: Ingen motorisk respons</w:t>
            </w:r>
          </w:p>
        </w:tc>
      </w:tr>
      <w:tr w:rsidR="00584BF8" w14:paraId="6ED55FB2" w14:textId="77777777" w:rsidTr="112A2323">
        <w:trPr>
          <w:trHeight w:val="64"/>
          <w:jc w:val="center"/>
        </w:trPr>
        <w:tc>
          <w:tcPr>
            <w:tcW w:w="6373" w:type="dxa"/>
            <w:gridSpan w:val="3"/>
            <w:tcBorders>
              <w:top w:val="nil"/>
            </w:tcBorders>
            <w:shd w:val="clear" w:color="auto" w:fill="auto"/>
          </w:tcPr>
          <w:p w14:paraId="3A084CE5"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Faldgruber ved GCS:</w:t>
            </w:r>
          </w:p>
          <w:p w14:paraId="6E560504" w14:textId="47DD58CE" w:rsidR="00584BF8" w:rsidRDefault="0F316E8F">
            <w:pPr>
              <w:widowControl w:val="0"/>
              <w:spacing w:after="0" w:line="240" w:lineRule="auto"/>
              <w:rPr>
                <w:rFonts w:ascii="Cambria" w:hAnsi="Cambria"/>
                <w:color w:val="000000" w:themeColor="text1"/>
                <w:sz w:val="14"/>
                <w:szCs w:val="14"/>
              </w:rPr>
            </w:pPr>
            <w:r w:rsidRPr="112A2323">
              <w:rPr>
                <w:rFonts w:ascii="Cambria" w:eastAsia="Calibri" w:hAnsi="Cambria"/>
                <w:color w:val="000000" w:themeColor="text1"/>
                <w:sz w:val="14"/>
                <w:szCs w:val="14"/>
              </w:rPr>
              <w:t>- Hemi/tetrapare</w:t>
            </w:r>
            <w:r w:rsidR="41F3BADE" w:rsidRPr="112A2323">
              <w:rPr>
                <w:rFonts w:ascii="Cambria" w:eastAsia="Calibri" w:hAnsi="Cambria"/>
                <w:color w:val="000000" w:themeColor="text1"/>
                <w:sz w:val="14"/>
                <w:szCs w:val="14"/>
              </w:rPr>
              <w:t>se:</w:t>
            </w:r>
            <w:r w:rsidRPr="112A2323">
              <w:rPr>
                <w:rFonts w:ascii="Cambria" w:eastAsia="Calibri" w:hAnsi="Cambria"/>
                <w:color w:val="000000" w:themeColor="text1"/>
                <w:sz w:val="14"/>
                <w:szCs w:val="14"/>
              </w:rPr>
              <w:t xml:space="preserve"> Motorisk respons scores efter bedste respons på mindst afficeret ekstremitet</w:t>
            </w:r>
          </w:p>
          <w:p w14:paraId="119F7D98"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 Traumatiske skader mod øjne, hals/stemmehånd og ekstremiteter</w:t>
            </w:r>
          </w:p>
          <w:p w14:paraId="141BC907"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 Afasi</w:t>
            </w:r>
          </w:p>
          <w:p w14:paraId="7CE09554"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 Kendte skader fra tidligere som vil påvirke GCS</w:t>
            </w:r>
          </w:p>
          <w:p w14:paraId="672A6659" w14:textId="77777777" w:rsidR="00584BF8" w:rsidRDefault="00584BF8">
            <w:pPr>
              <w:widowControl w:val="0"/>
              <w:spacing w:after="0" w:line="240" w:lineRule="auto"/>
              <w:rPr>
                <w:rFonts w:ascii="Cambria" w:hAnsi="Cambria"/>
                <w:color w:val="000000" w:themeColor="text1"/>
                <w:sz w:val="14"/>
                <w:szCs w:val="14"/>
              </w:rPr>
            </w:pPr>
          </w:p>
          <w:p w14:paraId="1242AF9C"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color w:val="000000" w:themeColor="text1"/>
                <w:sz w:val="14"/>
                <w:szCs w:val="14"/>
              </w:rPr>
              <w:t xml:space="preserve">OBS! Husk ved GCS </w:t>
            </w:r>
            <w:r>
              <w:rPr>
                <w:rFonts w:ascii="Cambria" w:eastAsia="Cambria" w:hAnsi="Cambria" w:cs="Cambria"/>
                <w:color w:val="000000" w:themeColor="text1"/>
                <w:sz w:val="14"/>
                <w:szCs w:val="14"/>
              </w:rPr>
              <w:t>≤</w:t>
            </w:r>
            <w:r>
              <w:rPr>
                <w:rFonts w:ascii="Cambria" w:eastAsia="Calibri" w:hAnsi="Cambria"/>
                <w:color w:val="000000" w:themeColor="text1"/>
                <w:sz w:val="14"/>
                <w:szCs w:val="14"/>
              </w:rPr>
              <w:t xml:space="preserve"> 8 at overveje anæstiologisk tilsyn mhp. intubation!</w:t>
            </w:r>
          </w:p>
        </w:tc>
      </w:tr>
      <w:tr w:rsidR="00584BF8" w14:paraId="48D10F1F" w14:textId="77777777" w:rsidTr="112A2323">
        <w:trPr>
          <w:trHeight w:val="64"/>
          <w:jc w:val="center"/>
        </w:trPr>
        <w:tc>
          <w:tcPr>
            <w:tcW w:w="6373" w:type="dxa"/>
            <w:gridSpan w:val="3"/>
            <w:shd w:val="clear" w:color="auto" w:fill="0070C0"/>
          </w:tcPr>
          <w:p w14:paraId="24E582FF"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b/>
                <w:bCs/>
                <w:color w:val="FFFFFF" w:themeColor="background1"/>
                <w:sz w:val="16"/>
                <w:szCs w:val="16"/>
              </w:rPr>
              <w:t>Neurologisk undersøgelse hos den bevidsthedspåvirkede patient</w:t>
            </w:r>
          </w:p>
        </w:tc>
      </w:tr>
      <w:tr w:rsidR="00584BF8" w14:paraId="6F524D5C" w14:textId="77777777" w:rsidTr="112A2323">
        <w:trPr>
          <w:trHeight w:val="64"/>
          <w:jc w:val="center"/>
        </w:trPr>
        <w:tc>
          <w:tcPr>
            <w:tcW w:w="6373" w:type="dxa"/>
            <w:gridSpan w:val="3"/>
          </w:tcPr>
          <w:p w14:paraId="0A4BF3B2" w14:textId="77777777" w:rsidR="00584BF8" w:rsidRDefault="00E51B4C">
            <w:pPr>
              <w:widowControl w:val="0"/>
              <w:numPr>
                <w:ilvl w:val="0"/>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Inspektion:</w:t>
            </w:r>
          </w:p>
          <w:p w14:paraId="01AC4E67" w14:textId="77777777" w:rsidR="00584BF8" w:rsidRDefault="00E51B4C">
            <w:pPr>
              <w:widowControl w:val="0"/>
              <w:numPr>
                <w:ilvl w:val="1"/>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 xml:space="preserve">Spontane stillinger: Tvangsdrejning? Øjenakser? Fastlåste led, herunder nakke-rygstivhed? Slappe ekstremiteter? </w:t>
            </w:r>
          </w:p>
          <w:p w14:paraId="78DD11E2" w14:textId="77777777" w:rsidR="00584BF8" w:rsidRDefault="00E51B4C">
            <w:pPr>
              <w:widowControl w:val="0"/>
              <w:numPr>
                <w:ilvl w:val="1"/>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Spontane bevægelser: Frie? Nystagmus? Grimasser? Epileptiske? Hæmmede? Ellers beskriv med dine egne ord hvad du ser.</w:t>
            </w:r>
          </w:p>
          <w:p w14:paraId="6442B6E3" w14:textId="77777777" w:rsidR="00584BF8" w:rsidRDefault="00E51B4C">
            <w:pPr>
              <w:widowControl w:val="0"/>
              <w:numPr>
                <w:ilvl w:val="1"/>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Kranienerver: Pupillernes størrelse og lysreaktion? Facialisparese?</w:t>
            </w:r>
          </w:p>
          <w:p w14:paraId="32AB403D" w14:textId="77777777" w:rsidR="00584BF8" w:rsidRDefault="00E51B4C">
            <w:pPr>
              <w:widowControl w:val="0"/>
              <w:numPr>
                <w:ilvl w:val="1"/>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Vejrtrækningsmønster: Almindeligt? Cheyne-Stokes? Paradoks? Apnø?</w:t>
            </w:r>
          </w:p>
          <w:p w14:paraId="1DB2DDE5" w14:textId="5E7F610A" w:rsidR="00584BF8" w:rsidRDefault="402A7E6B">
            <w:pPr>
              <w:widowControl w:val="0"/>
              <w:numPr>
                <w:ilvl w:val="0"/>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Motorisk: Øget tonus? Klonus? Livlige senereflekser? Plantarrespons?</w:t>
            </w:r>
          </w:p>
          <w:p w14:paraId="2AA921C1" w14:textId="77777777" w:rsidR="00584BF8" w:rsidRDefault="00E51B4C">
            <w:pPr>
              <w:widowControl w:val="0"/>
              <w:numPr>
                <w:ilvl w:val="0"/>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Sensorisk: Reaktion på berøring og smerte?</w:t>
            </w:r>
          </w:p>
          <w:p w14:paraId="2E4ED239" w14:textId="77777777" w:rsidR="00584BF8" w:rsidRDefault="00E51B4C">
            <w:pPr>
              <w:widowControl w:val="0"/>
              <w:numPr>
                <w:ilvl w:val="1"/>
                <w:numId w:val="1"/>
              </w:numPr>
              <w:spacing w:after="0" w:line="240" w:lineRule="auto"/>
              <w:rPr>
                <w:rFonts w:ascii="Cambria" w:hAnsi="Cambria"/>
                <w:color w:val="000000" w:themeColor="text1"/>
                <w:sz w:val="14"/>
                <w:szCs w:val="14"/>
              </w:rPr>
            </w:pPr>
            <w:r>
              <w:rPr>
                <w:rFonts w:ascii="Cambria" w:eastAsia="Calibri" w:hAnsi="Cambria"/>
                <w:color w:val="000000" w:themeColor="text1"/>
                <w:sz w:val="14"/>
                <w:szCs w:val="14"/>
              </w:rPr>
              <w:t>Smertestimuli: f.eks. på øjenbryn, sternum, negleleje</w:t>
            </w:r>
          </w:p>
        </w:tc>
      </w:tr>
      <w:tr w:rsidR="00584BF8" w14:paraId="1A90C92E" w14:textId="77777777" w:rsidTr="112A2323">
        <w:trPr>
          <w:trHeight w:val="64"/>
          <w:jc w:val="center"/>
        </w:trPr>
        <w:tc>
          <w:tcPr>
            <w:tcW w:w="6373" w:type="dxa"/>
            <w:gridSpan w:val="3"/>
            <w:shd w:val="clear" w:color="auto" w:fill="0070C0"/>
          </w:tcPr>
          <w:p w14:paraId="6EAEA33D"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b/>
                <w:bCs/>
                <w:i/>
                <w:iCs/>
                <w:color w:val="FFFFFF" w:themeColor="background1"/>
                <w:sz w:val="16"/>
                <w:szCs w:val="16"/>
              </w:rPr>
              <w:t>Hjernestammereflekser</w:t>
            </w:r>
          </w:p>
        </w:tc>
      </w:tr>
      <w:tr w:rsidR="00584BF8" w14:paraId="60C8AB3F" w14:textId="77777777" w:rsidTr="112A2323">
        <w:trPr>
          <w:trHeight w:val="64"/>
          <w:jc w:val="center"/>
        </w:trPr>
        <w:tc>
          <w:tcPr>
            <w:tcW w:w="6373" w:type="dxa"/>
            <w:gridSpan w:val="3"/>
            <w:tcBorders>
              <w:top w:val="nil"/>
            </w:tcBorders>
            <w:shd w:val="clear" w:color="auto" w:fill="FFFFFF" w:themeFill="background1"/>
          </w:tcPr>
          <w:p w14:paraId="7D87D233" w14:textId="77777777" w:rsidR="00584BF8" w:rsidRDefault="00E51B4C">
            <w:pPr>
              <w:widowControl w:val="0"/>
              <w:spacing w:after="0" w:line="240" w:lineRule="auto"/>
            </w:pPr>
            <w:r>
              <w:rPr>
                <w:rFonts w:ascii="Cambria" w:eastAsia="Calibri" w:hAnsi="Cambria"/>
                <w:color w:val="000000" w:themeColor="text1"/>
                <w:sz w:val="14"/>
                <w:szCs w:val="14"/>
              </w:rPr>
              <w:t>Kan undersøges ved patienter som i den akutte fase har en dårlig GCS score. De må ikke være sederede dybt eller hæmmet af muskelrelaksantia. Andre reversible årsager skal være udelukket.</w:t>
            </w:r>
          </w:p>
          <w:p w14:paraId="06D78348" w14:textId="77777777" w:rsidR="00584BF8" w:rsidRDefault="00E51B4C">
            <w:pPr>
              <w:widowControl w:val="0"/>
              <w:spacing w:after="0" w:line="240" w:lineRule="auto"/>
              <w:rPr>
                <w:rFonts w:ascii="Cambria" w:hAnsi="Cambria"/>
                <w:sz w:val="14"/>
                <w:szCs w:val="14"/>
              </w:rPr>
            </w:pPr>
            <w:r>
              <w:rPr>
                <w:rFonts w:ascii="Cambria" w:eastAsia="Calibri" w:hAnsi="Cambria"/>
                <w:color w:val="000000" w:themeColor="text1"/>
                <w:sz w:val="14"/>
                <w:szCs w:val="14"/>
              </w:rPr>
              <w:t>Hvis pt. har middelstore-store lysstive pupiller, kan man i den akutte fase undersøge nedenstående:</w:t>
            </w:r>
          </w:p>
          <w:p w14:paraId="28590CCF" w14:textId="77777777" w:rsidR="00584BF8" w:rsidRDefault="00E51B4C">
            <w:pPr>
              <w:widowControl w:val="0"/>
              <w:numPr>
                <w:ilvl w:val="0"/>
                <w:numId w:val="2"/>
              </w:numPr>
              <w:spacing w:after="0" w:line="240" w:lineRule="auto"/>
              <w:rPr>
                <w:rFonts w:ascii="Cambria" w:hAnsi="Cambria"/>
                <w:sz w:val="14"/>
                <w:szCs w:val="14"/>
              </w:rPr>
            </w:pPr>
            <w:r>
              <w:rPr>
                <w:rFonts w:ascii="Cambria" w:eastAsia="Calibri" w:hAnsi="Cambria"/>
                <w:color w:val="000000" w:themeColor="text1"/>
                <w:sz w:val="14"/>
                <w:szCs w:val="14"/>
              </w:rPr>
              <w:t>Cilie- og cornearefleks. Normalt = pt. lukker øje ved berøring</w:t>
            </w:r>
          </w:p>
          <w:p w14:paraId="590F4A6C" w14:textId="77777777" w:rsidR="00584BF8" w:rsidRDefault="00E51B4C">
            <w:pPr>
              <w:widowControl w:val="0"/>
              <w:numPr>
                <w:ilvl w:val="0"/>
                <w:numId w:val="2"/>
              </w:numPr>
              <w:spacing w:after="0" w:line="240" w:lineRule="auto"/>
              <w:rPr>
                <w:rFonts w:ascii="Cambria" w:hAnsi="Cambria"/>
                <w:sz w:val="14"/>
                <w:szCs w:val="14"/>
              </w:rPr>
            </w:pPr>
            <w:r>
              <w:rPr>
                <w:rFonts w:ascii="Cambria" w:eastAsia="Calibri" w:hAnsi="Cambria"/>
                <w:color w:val="000000" w:themeColor="text1"/>
                <w:sz w:val="14"/>
                <w:szCs w:val="14"/>
              </w:rPr>
              <w:t>Okulocefal refleks. Normalt = øjendrejning. Patologisk = Doll’s Eyes</w:t>
            </w:r>
          </w:p>
          <w:p w14:paraId="1BE59C2C" w14:textId="77777777" w:rsidR="00584BF8" w:rsidRDefault="00E51B4C">
            <w:pPr>
              <w:widowControl w:val="0"/>
              <w:numPr>
                <w:ilvl w:val="0"/>
                <w:numId w:val="2"/>
              </w:numPr>
              <w:spacing w:after="0" w:line="240" w:lineRule="auto"/>
              <w:rPr>
                <w:rFonts w:ascii="Cambria" w:hAnsi="Cambria"/>
                <w:sz w:val="14"/>
                <w:szCs w:val="14"/>
              </w:rPr>
            </w:pPr>
            <w:r>
              <w:rPr>
                <w:rFonts w:ascii="Cambria" w:eastAsia="Calibri" w:hAnsi="Cambria"/>
                <w:color w:val="000000" w:themeColor="text1"/>
                <w:sz w:val="14"/>
                <w:szCs w:val="14"/>
              </w:rPr>
              <w:t>Motorisk respons i ansigt ved stimulation i ansigt og ekstremitet</w:t>
            </w:r>
          </w:p>
          <w:p w14:paraId="6E9FF291" w14:textId="7CCC631C" w:rsidR="00584BF8" w:rsidRDefault="402A7E6B" w:rsidP="402A7E6B">
            <w:pPr>
              <w:widowControl w:val="0"/>
              <w:numPr>
                <w:ilvl w:val="0"/>
                <w:numId w:val="2"/>
              </w:numPr>
              <w:spacing w:after="0" w:line="240" w:lineRule="auto"/>
              <w:rPr>
                <w:rFonts w:ascii="Cambria" w:hAnsi="Cambria"/>
                <w:sz w:val="14"/>
                <w:szCs w:val="14"/>
              </w:rPr>
            </w:pPr>
            <w:r w:rsidRPr="402A7E6B">
              <w:rPr>
                <w:rFonts w:ascii="Cambria" w:eastAsia="Calibri" w:hAnsi="Cambria"/>
                <w:sz w:val="14"/>
                <w:szCs w:val="14"/>
              </w:rPr>
              <w:t>Hvis pt. er intuberet, spørg om pt. trigger/aktiverer respirator. Normalt = pt. trigger</w:t>
            </w:r>
          </w:p>
        </w:tc>
      </w:tr>
      <w:tr w:rsidR="00584BF8" w14:paraId="742C6996" w14:textId="77777777" w:rsidTr="112A2323">
        <w:trPr>
          <w:trHeight w:val="64"/>
          <w:jc w:val="center"/>
        </w:trPr>
        <w:tc>
          <w:tcPr>
            <w:tcW w:w="6373" w:type="dxa"/>
            <w:gridSpan w:val="3"/>
            <w:tcBorders>
              <w:top w:val="nil"/>
            </w:tcBorders>
            <w:shd w:val="clear" w:color="auto" w:fill="0070C0"/>
          </w:tcPr>
          <w:p w14:paraId="23A8BC6F" w14:textId="77777777" w:rsidR="00584BF8" w:rsidRDefault="00E51B4C">
            <w:pPr>
              <w:widowControl w:val="0"/>
              <w:spacing w:after="0" w:line="240" w:lineRule="auto"/>
              <w:rPr>
                <w:rFonts w:ascii="Cambria" w:hAnsi="Cambria"/>
                <w:color w:val="000000" w:themeColor="text1"/>
                <w:sz w:val="14"/>
                <w:szCs w:val="14"/>
              </w:rPr>
            </w:pPr>
            <w:r>
              <w:rPr>
                <w:rFonts w:ascii="Cambria" w:eastAsia="Calibri" w:hAnsi="Cambria"/>
                <w:b/>
                <w:bCs/>
                <w:i/>
                <w:iCs/>
                <w:color w:val="FFFFFF" w:themeColor="background1"/>
                <w:sz w:val="16"/>
                <w:szCs w:val="16"/>
              </w:rPr>
              <w:t>Evt. organdonation</w:t>
            </w:r>
          </w:p>
        </w:tc>
      </w:tr>
      <w:tr w:rsidR="00584BF8" w14:paraId="026CF73E" w14:textId="77777777" w:rsidTr="112A2323">
        <w:trPr>
          <w:trHeight w:val="64"/>
          <w:jc w:val="center"/>
        </w:trPr>
        <w:tc>
          <w:tcPr>
            <w:tcW w:w="6373" w:type="dxa"/>
            <w:gridSpan w:val="3"/>
          </w:tcPr>
          <w:p w14:paraId="38F0363B" w14:textId="2B7190FC" w:rsidR="00584BF8" w:rsidRDefault="4A764F6C">
            <w:pPr>
              <w:widowControl w:val="0"/>
              <w:spacing w:after="0" w:line="240" w:lineRule="auto"/>
            </w:pPr>
            <w:r w:rsidRPr="4A764F6C">
              <w:rPr>
                <w:rFonts w:ascii="Cambria" w:eastAsia="Calibri" w:hAnsi="Cambria"/>
                <w:color w:val="000000" w:themeColor="text1"/>
                <w:sz w:val="14"/>
                <w:szCs w:val="14"/>
              </w:rPr>
              <w:t>Her henvises til actioncardet vedr. Organdonationsforløb.</w:t>
            </w:r>
          </w:p>
          <w:p w14:paraId="2728583A" w14:textId="77B5EAE7" w:rsidR="4A764F6C" w:rsidRDefault="4A764F6C" w:rsidP="4A764F6C">
            <w:pPr>
              <w:widowControl w:val="0"/>
              <w:spacing w:after="0" w:line="240" w:lineRule="auto"/>
              <w:rPr>
                <w:rFonts w:ascii="Cambria" w:eastAsia="Calibri" w:hAnsi="Cambria"/>
                <w:color w:val="000000" w:themeColor="text1"/>
                <w:sz w:val="14"/>
                <w:szCs w:val="14"/>
              </w:rPr>
            </w:pPr>
          </w:p>
          <w:p w14:paraId="2F01BBB3" w14:textId="2352C351" w:rsidR="00584BF8" w:rsidRDefault="402A7E6B" w:rsidP="112A2323">
            <w:pPr>
              <w:widowControl w:val="0"/>
              <w:spacing w:after="0" w:line="240" w:lineRule="auto"/>
              <w:rPr>
                <w:rFonts w:ascii="Cambria" w:eastAsia="Calibri" w:hAnsi="Cambria"/>
                <w:color w:val="000000" w:themeColor="text1"/>
                <w:sz w:val="14"/>
                <w:szCs w:val="14"/>
              </w:rPr>
            </w:pPr>
            <w:r w:rsidRPr="112A2323">
              <w:rPr>
                <w:rFonts w:ascii="Cambria" w:eastAsia="Calibri" w:hAnsi="Cambria"/>
                <w:color w:val="000000" w:themeColor="text1"/>
                <w:sz w:val="14"/>
                <w:szCs w:val="14"/>
              </w:rPr>
              <w:t>Når pt. er afklaret i forhold til diagnose + behandlingsmulighederne er udtømte + der er sandsynlighed for at pt. inkarcererer, tages kontakt til</w:t>
            </w:r>
            <w:r w:rsidR="281D899F" w:rsidRPr="112A2323">
              <w:rPr>
                <w:rFonts w:ascii="Cambria" w:eastAsia="Calibri" w:hAnsi="Cambria"/>
                <w:color w:val="000000" w:themeColor="text1"/>
                <w:sz w:val="14"/>
                <w:szCs w:val="14"/>
              </w:rPr>
              <w:t xml:space="preserve"> beredsskabsvagt. Det afklares om</w:t>
            </w:r>
            <w:r w:rsidRPr="112A2323">
              <w:rPr>
                <w:rFonts w:ascii="Cambria" w:eastAsia="Calibri" w:hAnsi="Cambria"/>
                <w:color w:val="000000" w:themeColor="text1"/>
                <w:sz w:val="14"/>
                <w:szCs w:val="14"/>
              </w:rPr>
              <w:t xml:space="preserve"> transplantationskoordinator i AUH </w:t>
            </w:r>
            <w:r w:rsidR="1DB181A8" w:rsidRPr="112A2323">
              <w:rPr>
                <w:rFonts w:ascii="Cambria" w:eastAsia="Calibri" w:hAnsi="Cambria"/>
                <w:color w:val="000000" w:themeColor="text1"/>
                <w:sz w:val="14"/>
                <w:szCs w:val="14"/>
              </w:rPr>
              <w:t xml:space="preserve">skal kontaktes </w:t>
            </w:r>
            <w:r w:rsidRPr="112A2323">
              <w:rPr>
                <w:rFonts w:ascii="Cambria" w:eastAsia="Calibri" w:hAnsi="Cambria"/>
                <w:color w:val="000000" w:themeColor="text1"/>
                <w:sz w:val="14"/>
                <w:szCs w:val="14"/>
              </w:rPr>
              <w:t xml:space="preserve">via omstillingen (50000). Denne vil vejlede i forhold til afklarende undersøgelser. Vedkommende vil undersøge om pt. kan være kandidat til organdonation samt om pt. har givet samtykke til evt. organdonation. Pårørende informeres efterfølgende hvis pt. er mulig kandidat til organdonation og på hvilket grundlag (med eller uden samtykke fra pårørende). </w:t>
            </w:r>
          </w:p>
        </w:tc>
      </w:tr>
    </w:tbl>
    <w:p w14:paraId="0A37501D" w14:textId="77777777" w:rsidR="00584BF8" w:rsidRDefault="00584BF8"/>
    <w:sectPr w:rsidR="00584BF8">
      <w:pgSz w:w="6407" w:h="8505"/>
      <w:pgMar w:top="0" w:right="0" w:bottom="0" w:left="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1"/>
    <w:family w:val="auto"/>
    <w:pitch w:val="default"/>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8065DE"/>
    <w:multiLevelType w:val="multilevel"/>
    <w:tmpl w:val="FFFFFFFF"/>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0B2046"/>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6BA3A484"/>
    <w:multiLevelType w:val="multilevel"/>
    <w:tmpl w:val="FFFFFFFF"/>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16cid:durableId="2133397693">
    <w:abstractNumId w:val="1"/>
  </w:num>
  <w:num w:numId="2" w16cid:durableId="1253775783">
    <w:abstractNumId w:val="2"/>
  </w:num>
  <w:num w:numId="3" w16cid:durableId="180453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defaultTabStop w:val="1304"/>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35BF3C"/>
    <w:rsid w:val="001A14D6"/>
    <w:rsid w:val="001B7BEB"/>
    <w:rsid w:val="00413A77"/>
    <w:rsid w:val="00584BF8"/>
    <w:rsid w:val="007E7376"/>
    <w:rsid w:val="009574C2"/>
    <w:rsid w:val="00E51B4C"/>
    <w:rsid w:val="0535BF3C"/>
    <w:rsid w:val="0F316E8F"/>
    <w:rsid w:val="112A2323"/>
    <w:rsid w:val="115BEE14"/>
    <w:rsid w:val="1DA7AB44"/>
    <w:rsid w:val="1DB181A8"/>
    <w:rsid w:val="281D899F"/>
    <w:rsid w:val="402A7E6B"/>
    <w:rsid w:val="41DF5674"/>
    <w:rsid w:val="41F3BADE"/>
    <w:rsid w:val="4A764F6C"/>
    <w:rsid w:val="7AB4A1E6"/>
  </w:rsids>
  <m:mathPr>
    <m:mathFont m:val="Cambria Math"/>
    <m:brkBin m:val="before"/>
    <m:brkBinSub m:val="--"/>
    <m:smallFrac m:val="0"/>
    <m:dispDef/>
    <m:lMargin m:val="0"/>
    <m:rMargin m:val="0"/>
    <m:defJc m:val="centerGroup"/>
    <m:wrapIndent m:val="1440"/>
    <m:intLim m:val="subSup"/>
    <m:naryLim m:val="undOvr"/>
  </m:mathPr>
  <w:themeFontLang w:val="da-DK"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7F30D5E1"/>
  <w15:docId w15:val="{B4F890D2-36F5-4D72-8934-32BC14131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a-D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AB9"/>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14804"/>
    <w:rPr>
      <w:b/>
      <w:bCs/>
    </w:rPr>
  </w:style>
  <w:style w:type="character" w:customStyle="1" w:styleId="apple-converted-space">
    <w:name w:val="apple-converted-space"/>
    <w:basedOn w:val="DefaultParagraphFont"/>
    <w:qFormat/>
    <w:rsid w:val="00514804"/>
  </w:style>
  <w:style w:type="character" w:styleId="Emphasis">
    <w:name w:val="Emphasis"/>
    <w:basedOn w:val="DefaultParagraphFont"/>
    <w:uiPriority w:val="20"/>
    <w:qFormat/>
    <w:rsid w:val="00514804"/>
    <w:rPr>
      <w:i/>
      <w:iCs/>
    </w:rPr>
  </w:style>
  <w:style w:type="character" w:customStyle="1" w:styleId="Punktopstilling">
    <w:name w:val="Punktopstilling"/>
    <w:qFormat/>
    <w:rPr>
      <w:rFonts w:ascii="OpenSymbol" w:eastAsia="OpenSymbol" w:hAnsi="OpenSymbol" w:cs="OpenSymbol"/>
    </w:rPr>
  </w:style>
  <w:style w:type="paragraph" w:customStyle="1" w:styleId="Overskrift">
    <w:name w:val="Overskrift"/>
    <w:basedOn w:val="Normal"/>
    <w:next w:val="BodyText"/>
    <w:qFormat/>
    <w:pPr>
      <w:keepNext/>
      <w:spacing w:before="240" w:after="120"/>
    </w:pPr>
    <w:rPr>
      <w:rFonts w:ascii="Verdana" w:eastAsia="Microsoft YaHei" w:hAnsi="Verdana" w:cs="Lucida Sans"/>
      <w:sz w:val="28"/>
      <w:szCs w:val="28"/>
    </w:rPr>
  </w:style>
  <w:style w:type="paragraph" w:styleId="BodyText">
    <w:name w:val="Body Text"/>
    <w:basedOn w:val="Normal"/>
    <w:pPr>
      <w:spacing w:after="140" w:line="276" w:lineRule="auto"/>
    </w:pPr>
  </w:style>
  <w:style w:type="paragraph" w:styleId="List">
    <w:name w:val="List"/>
    <w:basedOn w:val="BodyText"/>
    <w:rPr>
      <w:rFonts w:ascii="Verdana" w:hAnsi="Verdana" w:cs="Lucida Sans"/>
    </w:rPr>
  </w:style>
  <w:style w:type="paragraph" w:styleId="Caption">
    <w:name w:val="caption"/>
    <w:basedOn w:val="Normal"/>
    <w:qFormat/>
    <w:pPr>
      <w:suppressLineNumbers/>
      <w:spacing w:before="120" w:after="120"/>
    </w:pPr>
    <w:rPr>
      <w:rFonts w:ascii="Verdana" w:hAnsi="Verdana" w:cs="Lucida Sans"/>
      <w:i/>
      <w:iCs/>
      <w:sz w:val="20"/>
      <w:szCs w:val="24"/>
    </w:rPr>
  </w:style>
  <w:style w:type="paragraph" w:customStyle="1" w:styleId="Indeks">
    <w:name w:val="Indeks"/>
    <w:basedOn w:val="Normal"/>
    <w:qFormat/>
    <w:pPr>
      <w:suppressLineNumbers/>
    </w:pPr>
    <w:rPr>
      <w:rFonts w:ascii="Verdana" w:hAnsi="Verdana" w:cs="Lucida Sans"/>
    </w:rPr>
  </w:style>
  <w:style w:type="paragraph" w:styleId="ListParagraph">
    <w:name w:val="List Paragraph"/>
    <w:basedOn w:val="Normal"/>
    <w:uiPriority w:val="34"/>
    <w:qFormat/>
    <w:rsid w:val="0021157B"/>
    <w:pPr>
      <w:spacing w:after="0" w:line="240" w:lineRule="auto"/>
      <w:ind w:left="720"/>
      <w:contextualSpacing/>
    </w:pPr>
    <w:rPr>
      <w:sz w:val="24"/>
      <w:szCs w:val="24"/>
    </w:rPr>
  </w:style>
  <w:style w:type="paragraph" w:styleId="NoSpacing">
    <w:name w:val="No Spacing"/>
    <w:uiPriority w:val="1"/>
    <w:qFormat/>
    <w:rsid w:val="00B42AB9"/>
    <w:rPr>
      <w:sz w:val="22"/>
      <w:szCs w:val="22"/>
    </w:rPr>
  </w:style>
  <w:style w:type="paragraph" w:customStyle="1" w:styleId="Tabelindhold">
    <w:name w:val="Tabelindhold"/>
    <w:basedOn w:val="Normal"/>
    <w:qFormat/>
    <w:pPr>
      <w:widowControl w:val="0"/>
      <w:suppressLineNumbers/>
    </w:pPr>
  </w:style>
  <w:style w:type="paragraph" w:customStyle="1" w:styleId="Tabeloverskrift">
    <w:name w:val="Tabeloverskrift"/>
    <w:basedOn w:val="Tabelindhold"/>
    <w:qFormat/>
    <w:pPr>
      <w:jc w:val="center"/>
    </w:pPr>
    <w:rPr>
      <w:b/>
      <w:bCs/>
    </w:rPr>
  </w:style>
  <w:style w:type="table" w:styleId="TableGrid">
    <w:name w:val="Table Grid"/>
    <w:basedOn w:val="TableNormal"/>
    <w:uiPriority w:val="39"/>
    <w:rsid w:val="005148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9894D1-CF69-4446-B8CF-B18DF99C8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392</Words>
  <Characters>2236</Characters>
  <Application>Microsoft Office Word</Application>
  <DocSecurity>4</DocSecurity>
  <Lines>18</Lines>
  <Paragraphs>5</Paragraphs>
  <ScaleCrop>false</ScaleCrop>
  <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Mazen Vester</dc:creator>
  <cp:keywords/>
  <dc:description/>
  <cp:lastModifiedBy>Armin Sommer</cp:lastModifiedBy>
  <cp:revision>46</cp:revision>
  <dcterms:created xsi:type="dcterms:W3CDTF">2021-04-05T11:09:00Z</dcterms:created>
  <dcterms:modified xsi:type="dcterms:W3CDTF">2025-01-20T17:40:00Z</dcterms:modified>
  <dc:language>da-DK</dc:language>
</cp:coreProperties>
</file>